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393FDB04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945AF6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lastRenderedPageBreak/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</w:t>
      </w:r>
      <w:r w:rsidRPr="00F82790">
        <w:rPr>
          <w:rFonts w:asciiTheme="minorHAnsi" w:hAnsiTheme="minorHAnsi" w:cstheme="minorHAnsi"/>
        </w:rPr>
        <w:lastRenderedPageBreak/>
        <w:t xml:space="preserve">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lastRenderedPageBreak/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</w:t>
      </w:r>
      <w:r w:rsidRPr="003A5EF7">
        <w:rPr>
          <w:rFonts w:asciiTheme="minorHAnsi" w:hAnsiTheme="minorHAnsi" w:cstheme="minorHAnsi"/>
        </w:rPr>
        <w:lastRenderedPageBreak/>
        <w:t xml:space="preserve">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38AD15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184D46E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8AB13E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B941E18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B6F0FD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060198B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EE11" w14:textId="77777777" w:rsidR="00EB7014" w:rsidRDefault="00EB7014" w:rsidP="002A13FE">
      <w:pPr>
        <w:spacing w:after="0" w:line="240" w:lineRule="auto"/>
      </w:pPr>
      <w:r>
        <w:separator/>
      </w:r>
    </w:p>
  </w:endnote>
  <w:endnote w:type="continuationSeparator" w:id="0">
    <w:p w14:paraId="25438BD6" w14:textId="77777777" w:rsidR="00EB7014" w:rsidRDefault="00EB7014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4286" w14:textId="77777777" w:rsidR="00EB7014" w:rsidRDefault="00EB7014" w:rsidP="002A13FE">
      <w:pPr>
        <w:spacing w:after="0" w:line="240" w:lineRule="auto"/>
      </w:pPr>
      <w:r>
        <w:separator/>
      </w:r>
    </w:p>
  </w:footnote>
  <w:footnote w:type="continuationSeparator" w:id="0">
    <w:p w14:paraId="4440D13B" w14:textId="77777777" w:rsidR="00EB7014" w:rsidRDefault="00EB7014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E21E2"/>
    <w:rsid w:val="001E796B"/>
    <w:rsid w:val="00200DA7"/>
    <w:rsid w:val="00261D72"/>
    <w:rsid w:val="0029302C"/>
    <w:rsid w:val="002A13FE"/>
    <w:rsid w:val="0035547D"/>
    <w:rsid w:val="003A5EF7"/>
    <w:rsid w:val="0044593A"/>
    <w:rsid w:val="00497CE4"/>
    <w:rsid w:val="004B4596"/>
    <w:rsid w:val="004E7A07"/>
    <w:rsid w:val="00592E4D"/>
    <w:rsid w:val="005E1156"/>
    <w:rsid w:val="00600FCB"/>
    <w:rsid w:val="00696C7A"/>
    <w:rsid w:val="007A5553"/>
    <w:rsid w:val="007B14BB"/>
    <w:rsid w:val="007C600E"/>
    <w:rsid w:val="007E7FEF"/>
    <w:rsid w:val="00887BCF"/>
    <w:rsid w:val="008D1B4F"/>
    <w:rsid w:val="00930F8D"/>
    <w:rsid w:val="00945AF6"/>
    <w:rsid w:val="0096662C"/>
    <w:rsid w:val="00980912"/>
    <w:rsid w:val="00995E11"/>
    <w:rsid w:val="00A367A6"/>
    <w:rsid w:val="00AC3FAD"/>
    <w:rsid w:val="00B02740"/>
    <w:rsid w:val="00B35E89"/>
    <w:rsid w:val="00B670AC"/>
    <w:rsid w:val="00BB4F3B"/>
    <w:rsid w:val="00BD372C"/>
    <w:rsid w:val="00BF430F"/>
    <w:rsid w:val="00C76C90"/>
    <w:rsid w:val="00C76F48"/>
    <w:rsid w:val="00CB3625"/>
    <w:rsid w:val="00D327D7"/>
    <w:rsid w:val="00D4334A"/>
    <w:rsid w:val="00D93963"/>
    <w:rsid w:val="00D95629"/>
    <w:rsid w:val="00DB3B59"/>
    <w:rsid w:val="00E11204"/>
    <w:rsid w:val="00E372F4"/>
    <w:rsid w:val="00E73BDF"/>
    <w:rsid w:val="00E92817"/>
    <w:rsid w:val="00EB7014"/>
    <w:rsid w:val="00EE3226"/>
    <w:rsid w:val="00F0019F"/>
    <w:rsid w:val="00F22CE2"/>
    <w:rsid w:val="00F82790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4524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</dc:title>
  <dc:subject/>
  <dc:creator>Joanna Bauza-Hube</dc:creator>
  <cp:keywords/>
  <dc:description/>
  <cp:lastModifiedBy>Agnieszka Piochacz </cp:lastModifiedBy>
  <cp:revision>2</cp:revision>
  <dcterms:created xsi:type="dcterms:W3CDTF">2025-02-14T07:47:00Z</dcterms:created>
  <dcterms:modified xsi:type="dcterms:W3CDTF">2025-02-14T07:47:00Z</dcterms:modified>
</cp:coreProperties>
</file>